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B2" w:rsidRDefault="00CF4CB2" w:rsidP="00CF4CB2">
      <w:pPr>
        <w:spacing w:before="100" w:beforeAutospacing="1" w:after="100" w:afterAutospacing="1" w:line="240" w:lineRule="auto"/>
        <w:ind w:right="-1134"/>
        <w:outlineLvl w:val="2"/>
        <w:rPr>
          <w:b/>
          <w:color w:val="002060"/>
          <w:sz w:val="36"/>
          <w:szCs w:val="36"/>
        </w:rPr>
      </w:pPr>
      <w:r w:rsidRPr="00CF4CB2">
        <w:rPr>
          <w:b/>
          <w:noProof/>
          <w:color w:val="002060"/>
          <w:sz w:val="36"/>
          <w:szCs w:val="36"/>
        </w:rPr>
        <mc:AlternateContent>
          <mc:Choice Requires="wps">
            <w:drawing>
              <wp:anchor distT="45720" distB="45720" distL="182880" distR="182880" simplePos="0" relativeHeight="251659264" behindDoc="1" locked="0" layoutInCell="1" allowOverlap="0">
                <wp:simplePos x="0" y="0"/>
                <wp:positionH relativeFrom="page">
                  <wp:posOffset>731520</wp:posOffset>
                </wp:positionH>
                <wp:positionV relativeFrom="paragraph">
                  <wp:posOffset>39370</wp:posOffset>
                </wp:positionV>
                <wp:extent cx="3550920" cy="1104900"/>
                <wp:effectExtent l="38100" t="38100" r="30480" b="3810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0920" cy="11049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CB2" w:rsidRPr="00CF4CB2" w:rsidRDefault="00CF4CB2" w:rsidP="00CF4CB2">
                            <w:pPr>
                              <w:pStyle w:val="Titre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lang w:eastAsia="fr-FR"/>
                              </w:rPr>
                            </w:pPr>
                            <w:r w:rsidRPr="00CF4C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kern w:val="36"/>
                                <w:lang w:eastAsia="fr-FR"/>
                              </w:rPr>
                              <w:t>Le microbiote, un organe méconnu</w:t>
                            </w:r>
                          </w:p>
                          <w:p w:rsidR="00CF4CB2" w:rsidRPr="00CF4CB2" w:rsidRDefault="00CF4CB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7.6pt;margin-top:3.1pt;width:279.6pt;height:87pt;z-index:-251657216;visibility:visible;mso-wrap-style:square;mso-width-percent:0;mso-height-percent:0;mso-wrap-distance-left:14.4pt;mso-wrap-distance-top:3.6pt;mso-wrap-distance-right:14.4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" o:allowoverlap="f" fillcolor="#44546a [3215]" strokecolor="#44546a [3215]" strokeweight="6pt">
                <v:stroke linestyle="thinThin"/>
                <v:textbox inset="14.4pt,14.4pt,14.4pt,14.4pt">
                  <w:txbxContent>
                    <w:p w:rsidR="00CF4CB2" w:rsidRPr="00CF4CB2" w:rsidRDefault="00CF4CB2" w:rsidP="00CF4CB2">
                      <w:pPr>
                        <w:pStyle w:val="Titre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kern w:val="36"/>
                          <w:lang w:eastAsia="fr-FR"/>
                        </w:rPr>
                      </w:pPr>
                      <w:r w:rsidRPr="00CF4CB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kern w:val="36"/>
                          <w:lang w:eastAsia="fr-FR"/>
                        </w:rPr>
                        <w:t>Le microbiote, un organe méconnu</w:t>
                      </w:r>
                    </w:p>
                    <w:p w:rsidR="00CF4CB2" w:rsidRPr="00CF4CB2" w:rsidRDefault="00CF4CB2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b/>
          <w:color w:val="002060"/>
          <w:sz w:val="36"/>
          <w:szCs w:val="36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723F5DB1" wp14:editId="5A62D66D">
            <wp:extent cx="2301240" cy="1154759"/>
            <wp:effectExtent l="0" t="0" r="3810" b="7620"/>
            <wp:docPr id="2" name="Image 2" descr="Le microbiote, un organe mécon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microbiote, un organe méconn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943" cy="116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B2" w:rsidRPr="00CF4CB2" w:rsidRDefault="00CF4CB2" w:rsidP="00CF4C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fr-FR"/>
        </w:rPr>
      </w:pPr>
      <w:r w:rsidRPr="00CF4CB2">
        <w:rPr>
          <w:b/>
          <w:color w:val="002060"/>
          <w:sz w:val="36"/>
          <w:szCs w:val="36"/>
        </w:rPr>
        <w:t xml:space="preserve">Le </w:t>
      </w:r>
      <w:proofErr w:type="spellStart"/>
      <w:r w:rsidRPr="00CF4CB2">
        <w:rPr>
          <w:b/>
          <w:color w:val="002060"/>
          <w:sz w:val="36"/>
          <w:szCs w:val="36"/>
        </w:rPr>
        <w:t>microbiote</w:t>
      </w:r>
      <w:proofErr w:type="spellEnd"/>
      <w:r w:rsidRPr="00CF4CB2">
        <w:rPr>
          <w:b/>
          <w:color w:val="002060"/>
          <w:sz w:val="36"/>
          <w:szCs w:val="36"/>
        </w:rPr>
        <w:t xml:space="preserve"> ne se limite pas à la </w:t>
      </w:r>
      <w:hyperlink r:id="rId5" w:tgtFrame="_blank" w:history="1">
        <w:r w:rsidRPr="00CF4CB2">
          <w:rPr>
            <w:rStyle w:val="Lienhypertexte"/>
            <w:b/>
            <w:color w:val="002060"/>
            <w:sz w:val="36"/>
            <w:szCs w:val="36"/>
          </w:rPr>
          <w:t>flore intestinale</w:t>
        </w:r>
      </w:hyperlink>
      <w:r w:rsidRPr="00CF4CB2">
        <w:rPr>
          <w:b/>
          <w:color w:val="002060"/>
          <w:sz w:val="36"/>
          <w:szCs w:val="36"/>
        </w:rPr>
        <w:t xml:space="preserve"> : il forme un organe à part entière qui participe à notre bonne santé.</w:t>
      </w:r>
    </w:p>
    <w:p w:rsidR="00CF4CB2" w:rsidRPr="00CF4CB2" w:rsidRDefault="00CF4CB2" w:rsidP="00CF4C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F4CB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Un levier crucial pour rester en bonne santé</w:t>
      </w:r>
    </w:p>
    <w:p w:rsidR="00CF4CB2" w:rsidRPr="00CF4CB2" w:rsidRDefault="00CF4CB2" w:rsidP="00CF4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C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proofErr w:type="spellStart"/>
      <w:r w:rsidRPr="00CF4CB2">
        <w:rPr>
          <w:rFonts w:ascii="Times New Roman" w:eastAsia="Times New Roman" w:hAnsi="Times New Roman" w:cs="Times New Roman"/>
          <w:sz w:val="24"/>
          <w:szCs w:val="24"/>
          <w:lang w:eastAsia="fr-FR"/>
        </w:rPr>
        <w:t>microbiote</w:t>
      </w:r>
      <w:proofErr w:type="spellEnd"/>
      <w:r w:rsidRPr="00CF4C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le chef d'orchestre du corps : s'il est équilibré, tout est harmonieux, s'il va mal, c'est la cacophonie.</w:t>
      </w:r>
    </w:p>
    <w:p w:rsidR="00CF4CB2" w:rsidRPr="00CF4CB2" w:rsidRDefault="00CF4CB2" w:rsidP="00CF4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C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</w:t>
      </w:r>
      <w:proofErr w:type="spellStart"/>
      <w:r w:rsidRPr="00CF4CB2">
        <w:rPr>
          <w:rFonts w:ascii="Times New Roman" w:eastAsia="Times New Roman" w:hAnsi="Times New Roman" w:cs="Times New Roman"/>
          <w:sz w:val="24"/>
          <w:szCs w:val="24"/>
          <w:lang w:eastAsia="fr-FR"/>
        </w:rPr>
        <w:t>microbiote</w:t>
      </w:r>
      <w:proofErr w:type="spellEnd"/>
      <w:r w:rsidRPr="00CF4C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bonne santé représente la meilleure protection contre les microbes et les virus, mais pas seulement contre eux. On commence à comprendre que de nombreuses pathologies non infectieuses dépendent également de sa capacité à réagir. Par exemple, les facteurs génétiques de prédisposition ne suffisent pas à expliquer l’apparition de plus en plus fréquente de la maladie de </w:t>
      </w:r>
      <w:proofErr w:type="spellStart"/>
      <w:r w:rsidRPr="00CF4CB2">
        <w:rPr>
          <w:rFonts w:ascii="Times New Roman" w:eastAsia="Times New Roman" w:hAnsi="Times New Roman" w:cs="Times New Roman"/>
          <w:sz w:val="24"/>
          <w:szCs w:val="24"/>
          <w:lang w:eastAsia="fr-FR"/>
        </w:rPr>
        <w:t>Crohn</w:t>
      </w:r>
      <w:proofErr w:type="spellEnd"/>
      <w:r w:rsidRPr="00CF4C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la population. Même chose pour le syndrome de l’intestin irritable. Plusieurs travaux d’étude ont montré que dans ces deux cas, certaines souches de bactéries appartenant au </w:t>
      </w:r>
      <w:proofErr w:type="spellStart"/>
      <w:r w:rsidRPr="00CF4CB2">
        <w:rPr>
          <w:rFonts w:ascii="Times New Roman" w:eastAsia="Times New Roman" w:hAnsi="Times New Roman" w:cs="Times New Roman"/>
          <w:sz w:val="24"/>
          <w:szCs w:val="24"/>
          <w:lang w:eastAsia="fr-FR"/>
        </w:rPr>
        <w:t>microbiote</w:t>
      </w:r>
      <w:proofErr w:type="spellEnd"/>
      <w:r w:rsidRPr="00CF4C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étaient altérées, tandis qu’elles étaient en excès dans d’autres comme le diabète ou les allergies.</w:t>
      </w:r>
    </w:p>
    <w:p w:rsidR="00CF4CB2" w:rsidRPr="00CF4CB2" w:rsidRDefault="00CF4CB2" w:rsidP="00CF4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C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déséquilibre du </w:t>
      </w:r>
      <w:proofErr w:type="spellStart"/>
      <w:r w:rsidRPr="00CF4CB2">
        <w:rPr>
          <w:rFonts w:ascii="Times New Roman" w:eastAsia="Times New Roman" w:hAnsi="Times New Roman" w:cs="Times New Roman"/>
          <w:sz w:val="24"/>
          <w:szCs w:val="24"/>
          <w:lang w:eastAsia="fr-FR"/>
        </w:rPr>
        <w:t>microbiote</w:t>
      </w:r>
      <w:proofErr w:type="spellEnd"/>
      <w:r w:rsidRPr="00CF4C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perturbant son interaction avec le système immunitaire, peut donc ouvrir la porte à un grand nombre de maladies métaboliques (le diabète de type 1, l’obésité, les allergies, la maladie de </w:t>
      </w:r>
      <w:proofErr w:type="spellStart"/>
      <w:r w:rsidRPr="00CF4CB2">
        <w:rPr>
          <w:rFonts w:ascii="Times New Roman" w:eastAsia="Times New Roman" w:hAnsi="Times New Roman" w:cs="Times New Roman"/>
          <w:sz w:val="24"/>
          <w:szCs w:val="24"/>
          <w:lang w:eastAsia="fr-FR"/>
        </w:rPr>
        <w:t>Crohn</w:t>
      </w:r>
      <w:proofErr w:type="spellEnd"/>
      <w:r w:rsidRPr="00CF4C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maladie </w:t>
      </w:r>
      <w:proofErr w:type="spellStart"/>
      <w:r w:rsidRPr="00CF4CB2">
        <w:rPr>
          <w:rFonts w:ascii="Times New Roman" w:eastAsia="Times New Roman" w:hAnsi="Times New Roman" w:cs="Times New Roman"/>
          <w:sz w:val="24"/>
          <w:szCs w:val="24"/>
          <w:lang w:eastAsia="fr-FR"/>
        </w:rPr>
        <w:t>coeliaque</w:t>
      </w:r>
      <w:proofErr w:type="spellEnd"/>
      <w:r w:rsidRPr="00CF4C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…) mais aussi </w:t>
      </w:r>
      <w:proofErr w:type="spellStart"/>
      <w:r w:rsidRPr="00CF4CB2">
        <w:rPr>
          <w:rFonts w:ascii="Times New Roman" w:eastAsia="Times New Roman" w:hAnsi="Times New Roman" w:cs="Times New Roman"/>
          <w:sz w:val="24"/>
          <w:szCs w:val="24"/>
          <w:lang w:eastAsia="fr-FR"/>
        </w:rPr>
        <w:t>neuropathologiques</w:t>
      </w:r>
      <w:proofErr w:type="spellEnd"/>
      <w:r w:rsidRPr="00CF4C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(la dépression, les maladies neurodégénératives…).</w:t>
      </w:r>
    </w:p>
    <w:p w:rsidR="00CF4CB2" w:rsidRDefault="00CF4CB2" w:rsidP="00CF4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</w:pPr>
      <w:r w:rsidRPr="00CF4CB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fr-FR"/>
        </w:rPr>
        <w:t xml:space="preserve">Les symptômes d’un </w:t>
      </w:r>
      <w:proofErr w:type="spellStart"/>
      <w:r w:rsidRPr="00CF4CB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fr-FR"/>
        </w:rPr>
        <w:t>microbiote</w:t>
      </w:r>
      <w:proofErr w:type="spellEnd"/>
      <w:r w:rsidRPr="00CF4CB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fr-FR"/>
        </w:rPr>
        <w:t xml:space="preserve"> malade</w:t>
      </w:r>
      <w:r w:rsidRPr="00CF4CB2">
        <w:rPr>
          <w:rFonts w:ascii="Times New Roman" w:eastAsia="Times New Roman" w:hAnsi="Times New Roman" w:cs="Times New Roman"/>
          <w:color w:val="002060"/>
          <w:sz w:val="28"/>
          <w:szCs w:val="28"/>
          <w:lang w:eastAsia="fr-FR"/>
        </w:rPr>
        <w:br/>
      </w:r>
      <w:r w:rsidRPr="00CF4CB2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 xml:space="preserve">Si votre </w:t>
      </w:r>
      <w:proofErr w:type="spellStart"/>
      <w:r w:rsidRPr="00CF4CB2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>microbiote</w:t>
      </w:r>
      <w:proofErr w:type="spellEnd"/>
      <w:r w:rsidRPr="00CF4CB2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 xml:space="preserve"> est malade, vous le serez aussi. Les symptômes varient selon les personnes, leur mode de vie et leurs prédispositions génétiques. En voici les exemples principaux :</w:t>
      </w:r>
      <w:r w:rsidRPr="00CF4CB2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br/>
        <w:t xml:space="preserve">- des </w:t>
      </w:r>
      <w:r w:rsidRPr="00CF4CB2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fr-FR"/>
        </w:rPr>
        <w:t>douleurs</w:t>
      </w:r>
      <w:r w:rsidRPr="00CF4CB2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 xml:space="preserve"> : abdominales, musculaires, articulaires,</w:t>
      </w:r>
      <w:r w:rsidRPr="00CF4CB2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br/>
        <w:t xml:space="preserve">- des </w:t>
      </w:r>
      <w:r w:rsidRPr="00CF4CB2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fr-FR"/>
        </w:rPr>
        <w:t>troubles digestifs</w:t>
      </w:r>
      <w:r w:rsidRPr="00CF4CB2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 xml:space="preserve"> : sensation de lourdeur dans l’estomac, nausées, ballonnements, gaz, diarrhées, constipation, démangeaisons anales,</w:t>
      </w:r>
      <w:r w:rsidRPr="00CF4CB2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br/>
        <w:t>- des</w:t>
      </w:r>
      <w:r w:rsidRPr="00CF4CB2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fr-FR"/>
        </w:rPr>
        <w:t xml:space="preserve"> troubles physiologiques</w:t>
      </w:r>
      <w:r w:rsidRPr="00CF4CB2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 xml:space="preserve"> : accélération du vieillissement, prise de poids, perte de poids, fatigue, baisse d’énergie, baisse de la fonction sexuelle, étourdissements, engourdissements et fourmillements des mains et des pieds,</w:t>
      </w:r>
      <w:r w:rsidRPr="00CF4CB2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br/>
        <w:t xml:space="preserve">- des </w:t>
      </w:r>
      <w:r w:rsidRPr="00CF4CB2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fr-FR"/>
        </w:rPr>
        <w:t>troubles de l’immunité</w:t>
      </w:r>
      <w:r w:rsidRPr="00CF4CB2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 xml:space="preserve"> : allergies, infections,</w:t>
      </w:r>
      <w:r w:rsidRPr="00CF4CB2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br/>
        <w:t xml:space="preserve">- des </w:t>
      </w:r>
      <w:r w:rsidRPr="00CF4CB2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fr-FR"/>
        </w:rPr>
        <w:t>troubles neurologiques</w:t>
      </w:r>
      <w:r w:rsidRPr="00CF4CB2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 xml:space="preserve"> : maux de tête, anxiété, cerveau embrumé, manque de concentration, perte de mémoire, état dépressif, baisse de la libido,</w:t>
      </w:r>
      <w:r w:rsidRPr="00CF4CB2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br/>
        <w:t xml:space="preserve">- des </w:t>
      </w:r>
      <w:r w:rsidRPr="00CF4CB2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fr-FR"/>
        </w:rPr>
        <w:t>problèmes inflammatoires</w:t>
      </w:r>
      <w:r w:rsidRPr="00CF4CB2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 xml:space="preserve"> : arthrite, chevilles enflées,</w:t>
      </w:r>
      <w:r w:rsidRPr="00CF4CB2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br/>
        <w:t xml:space="preserve">- des </w:t>
      </w:r>
      <w:r w:rsidRPr="00CF4CB2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fr-FR"/>
        </w:rPr>
        <w:t>problèmes de peau</w:t>
      </w:r>
      <w:r w:rsidRPr="00CF4CB2">
        <w:rPr>
          <w:rFonts w:ascii="Times New Roman" w:eastAsia="Times New Roman" w:hAnsi="Times New Roman" w:cs="Times New Roman"/>
          <w:color w:val="002060"/>
          <w:sz w:val="26"/>
          <w:szCs w:val="26"/>
          <w:lang w:eastAsia="fr-FR"/>
        </w:rPr>
        <w:t xml:space="preserve"> : sécheresse, eczéma, chute de cheveux, cheveux ternes, éruptions.</w:t>
      </w:r>
    </w:p>
    <w:p w:rsidR="00CF4CB2" w:rsidRPr="00CF4CB2" w:rsidRDefault="00CF4CB2" w:rsidP="00CF4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</w:pPr>
      <w:r w:rsidRPr="00CF4CB2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  <w:t>Votre professionnel de santé « </w:t>
      </w:r>
      <w:proofErr w:type="spellStart"/>
      <w:r w:rsidRPr="00CF4CB2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  <w:t>micronutritionniste</w:t>
      </w:r>
      <w:proofErr w:type="spellEnd"/>
      <w:r w:rsidRPr="00CF4CB2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  <w:t xml:space="preserve"> » pourra vous donner les conseils utiles pour une prise en charge optimale du </w:t>
      </w:r>
      <w:proofErr w:type="spellStart"/>
      <w:r w:rsidRPr="00CF4CB2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  <w:t>microbiote</w:t>
      </w:r>
      <w:proofErr w:type="spellEnd"/>
      <w:r w:rsidRPr="00CF4CB2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  <w:t>Un</w:t>
      </w:r>
      <w:r w:rsidRPr="00CF4CB2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  <w:t xml:space="preserve"> </w:t>
      </w:r>
      <w:proofErr w:type="spellStart"/>
      <w:r w:rsidRPr="00CF4CB2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  <w:t>microbiote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  <w:t xml:space="preserve"> malade risque de rendre stérile</w:t>
      </w:r>
      <w:r w:rsidRPr="00CF4CB2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  <w:t>le</w:t>
      </w:r>
      <w:r w:rsidRPr="00CF4CB2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  <w:t xml:space="preserve"> traitement par compléments alimentaire</w:t>
      </w:r>
      <w:r w:rsidR="0022700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  <w:t>s</w:t>
      </w:r>
      <w:r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  <w:t xml:space="preserve"> </w:t>
      </w:r>
      <w:r w:rsidRPr="00CF4CB2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fr-FR"/>
        </w:rPr>
        <w:t>!</w:t>
      </w:r>
      <w:bookmarkStart w:id="0" w:name="_GoBack"/>
      <w:bookmarkEnd w:id="0"/>
    </w:p>
    <w:p w:rsidR="0034306F" w:rsidRDefault="0034306F"/>
    <w:sectPr w:rsidR="0034306F" w:rsidSect="00CF4CB2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B2"/>
    <w:rsid w:val="00227007"/>
    <w:rsid w:val="0034306F"/>
    <w:rsid w:val="00C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D9A90-FB60-4E43-9B5A-39C17F41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4C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F4CB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F4C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ierrysouccar.com/sante/info/comment-la-flore-intestinale-nous-protege-55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LAUER</dc:creator>
  <cp:keywords/>
  <dc:description/>
  <cp:lastModifiedBy>Alain LAUER</cp:lastModifiedBy>
  <cp:revision>2</cp:revision>
  <dcterms:created xsi:type="dcterms:W3CDTF">2017-02-25T07:47:00Z</dcterms:created>
  <dcterms:modified xsi:type="dcterms:W3CDTF">2017-02-25T11:08:00Z</dcterms:modified>
</cp:coreProperties>
</file>